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57FF9464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C360B7">
        <w:t>Kieran Swords</w:t>
      </w:r>
      <w:r w:rsidR="0023390D">
        <w:t xml:space="preserve">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6950348B" w14:textId="2D2709A2" w:rsidR="004F562F" w:rsidRPr="004F562F" w:rsidRDefault="004F562F" w:rsidP="004F56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3E5BC9D9" w14:textId="66F9D78A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210E49" w:rsidRPr="00210E49">
        <w:rPr>
          <w:b/>
          <w:sz w:val="28"/>
          <w:szCs w:val="28"/>
          <w:shd w:val="clear" w:color="auto" w:fill="00B050"/>
        </w:rPr>
        <w:t>Excellent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2122281B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EB405F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C360B7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00B050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C360B7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auto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00B050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C360B7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auto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00B050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C360B7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00B050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C360B7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auto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00B050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023B86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C360B7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00B050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6628455B" w:rsidR="00AB58C1" w:rsidRDefault="00C360B7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Kieran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>he work submitted</w:t>
            </w:r>
            <w:r w:rsidR="00EE0843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>meet</w:t>
            </w:r>
            <w:r w:rsidR="00023B86">
              <w:rPr>
                <w:sz w:val="24"/>
                <w:szCs w:val="24"/>
              </w:rPr>
              <w:t xml:space="preserve">s </w:t>
            </w:r>
            <w:r w:rsidR="005E102D" w:rsidRPr="00041FA4">
              <w:rPr>
                <w:sz w:val="24"/>
                <w:szCs w:val="24"/>
              </w:rPr>
              <w:t xml:space="preserve">all the assessment criteria </w:t>
            </w:r>
            <w:r w:rsidR="00DC7B7F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excellent</w:t>
            </w:r>
            <w:r w:rsidR="00DC7B7F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and is of </w:t>
            </w:r>
            <w:proofErr w:type="gramStart"/>
            <w:r w:rsidR="005E102D" w:rsidRPr="00041FA4">
              <w:rPr>
                <w:sz w:val="24"/>
                <w:szCs w:val="24"/>
              </w:rPr>
              <w:t>a</w:t>
            </w:r>
            <w:proofErr w:type="gramEnd"/>
            <w:r w:rsidR="005E102D" w:rsidRPr="00041F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excellent</w:t>
            </w:r>
            <w:r w:rsidR="00A23032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3054A9C5" w14:textId="3B01C109" w:rsidR="00023B86" w:rsidRDefault="00023B86" w:rsidP="005E102D">
            <w:pPr>
              <w:rPr>
                <w:sz w:val="24"/>
                <w:szCs w:val="24"/>
              </w:rPr>
            </w:pPr>
          </w:p>
          <w:p w14:paraId="4D574146" w14:textId="051B70C5" w:rsidR="00023B86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successfully research</w:t>
            </w:r>
            <w:r w:rsidR="000E48DC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potential progression routes through UCAS, planned and completed an application and personal statement and then finally put together a portfolio for interviews. This demonstrates your ability to plan, organise and execute an effective application and required documents. </w:t>
            </w:r>
          </w:p>
          <w:p w14:paraId="10552762" w14:textId="2DD4A47B" w:rsidR="00023B86" w:rsidRDefault="00023B86" w:rsidP="005E102D">
            <w:pPr>
              <w:rPr>
                <w:sz w:val="24"/>
                <w:szCs w:val="24"/>
              </w:rPr>
            </w:pPr>
          </w:p>
          <w:p w14:paraId="5FDCE683" w14:textId="4AEF5893" w:rsidR="00023B86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portfolio you have submitted </w:t>
            </w:r>
            <w:r w:rsidR="00C360B7">
              <w:rPr>
                <w:sz w:val="24"/>
                <w:szCs w:val="24"/>
              </w:rPr>
              <w:t xml:space="preserve">is excellent and is well laid out, </w:t>
            </w:r>
            <w:proofErr w:type="gramStart"/>
            <w:r w:rsidR="00C360B7">
              <w:rPr>
                <w:sz w:val="24"/>
                <w:szCs w:val="24"/>
              </w:rPr>
              <w:t>planned</w:t>
            </w:r>
            <w:proofErr w:type="gramEnd"/>
            <w:r w:rsidR="00C360B7">
              <w:rPr>
                <w:sz w:val="24"/>
                <w:szCs w:val="24"/>
              </w:rPr>
              <w:t xml:space="preserve"> and articulated. The video layout works well and demonstrates your work in a clear and concise manner. </w:t>
            </w:r>
          </w:p>
          <w:p w14:paraId="3371AAB2" w14:textId="2AAE3121" w:rsidR="00023B86" w:rsidRDefault="00023B86" w:rsidP="005E102D">
            <w:pPr>
              <w:rPr>
                <w:sz w:val="24"/>
                <w:szCs w:val="24"/>
              </w:rPr>
            </w:pPr>
          </w:p>
          <w:p w14:paraId="73ED4675" w14:textId="31CA6657" w:rsidR="00AE4378" w:rsidRDefault="00023B86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CV is </w:t>
            </w:r>
            <w:r w:rsidR="00C360B7">
              <w:rPr>
                <w:sz w:val="24"/>
                <w:szCs w:val="24"/>
              </w:rPr>
              <w:t xml:space="preserve">clear and contains all the relevant information important for a job application, it could be improved with a more aesthetically pleasing design, but it certainly is suitable for use. </w:t>
            </w:r>
            <w:r w:rsidR="00A23032">
              <w:rPr>
                <w:sz w:val="24"/>
                <w:szCs w:val="24"/>
              </w:rPr>
              <w:t xml:space="preserve"> </w:t>
            </w:r>
          </w:p>
          <w:p w14:paraId="115BBAB8" w14:textId="77777777" w:rsidR="00A23032" w:rsidRDefault="00A23032" w:rsidP="005E102D">
            <w:pPr>
              <w:rPr>
                <w:sz w:val="24"/>
                <w:szCs w:val="24"/>
              </w:rPr>
            </w:pPr>
          </w:p>
          <w:p w14:paraId="3F846E17" w14:textId="57FC8599" w:rsidR="00B43391" w:rsidRPr="00B43391" w:rsidRDefault="00B43391" w:rsidP="00F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23032">
              <w:rPr>
                <w:sz w:val="24"/>
                <w:szCs w:val="24"/>
              </w:rPr>
              <w:t xml:space="preserve">this is excellent work on the </w:t>
            </w:r>
            <w:proofErr w:type="gramStart"/>
            <w:r w:rsidR="00A23032">
              <w:rPr>
                <w:sz w:val="24"/>
                <w:szCs w:val="24"/>
              </w:rPr>
              <w:t>whole</w:t>
            </w:r>
            <w:proofErr w:type="gramEnd"/>
            <w:r w:rsidR="00A23032">
              <w:rPr>
                <w:sz w:val="24"/>
                <w:szCs w:val="24"/>
              </w:rPr>
              <w:t xml:space="preserve"> </w:t>
            </w:r>
            <w:r w:rsidR="00C360B7">
              <w:rPr>
                <w:sz w:val="24"/>
                <w:szCs w:val="24"/>
              </w:rPr>
              <w:t xml:space="preserve">but it would be good to see improvements on your CV to ensure that it is as well presented as the rest of your work. </w:t>
            </w:r>
            <w:r w:rsidR="00A23032"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23B86"/>
    <w:rsid w:val="00041FA4"/>
    <w:rsid w:val="000A47E2"/>
    <w:rsid w:val="000E48DC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10E49"/>
    <w:rsid w:val="00222FFB"/>
    <w:rsid w:val="0023390D"/>
    <w:rsid w:val="00270FC7"/>
    <w:rsid w:val="00283011"/>
    <w:rsid w:val="002A0527"/>
    <w:rsid w:val="002D6EAB"/>
    <w:rsid w:val="00305920"/>
    <w:rsid w:val="003216BD"/>
    <w:rsid w:val="003241C2"/>
    <w:rsid w:val="00352F3F"/>
    <w:rsid w:val="00370672"/>
    <w:rsid w:val="003733D7"/>
    <w:rsid w:val="00386F4E"/>
    <w:rsid w:val="003D01BB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71490C"/>
    <w:rsid w:val="00715153"/>
    <w:rsid w:val="00746868"/>
    <w:rsid w:val="00836095"/>
    <w:rsid w:val="00866F37"/>
    <w:rsid w:val="00893F1C"/>
    <w:rsid w:val="008C1F65"/>
    <w:rsid w:val="008F1472"/>
    <w:rsid w:val="008F57FC"/>
    <w:rsid w:val="0091223D"/>
    <w:rsid w:val="00936516"/>
    <w:rsid w:val="0096268A"/>
    <w:rsid w:val="009D1243"/>
    <w:rsid w:val="00A052CA"/>
    <w:rsid w:val="00A23032"/>
    <w:rsid w:val="00A24DC6"/>
    <w:rsid w:val="00A333AF"/>
    <w:rsid w:val="00A815E9"/>
    <w:rsid w:val="00A94E60"/>
    <w:rsid w:val="00AA0F7F"/>
    <w:rsid w:val="00AB58C1"/>
    <w:rsid w:val="00AE4378"/>
    <w:rsid w:val="00AE7EA3"/>
    <w:rsid w:val="00AF0F12"/>
    <w:rsid w:val="00AF4326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360B7"/>
    <w:rsid w:val="00C4471A"/>
    <w:rsid w:val="00C560CC"/>
    <w:rsid w:val="00C63DC7"/>
    <w:rsid w:val="00C97671"/>
    <w:rsid w:val="00CE3D12"/>
    <w:rsid w:val="00D31236"/>
    <w:rsid w:val="00D7045A"/>
    <w:rsid w:val="00D92A8C"/>
    <w:rsid w:val="00DB1705"/>
    <w:rsid w:val="00DC7B7F"/>
    <w:rsid w:val="00DD2DDC"/>
    <w:rsid w:val="00DE34CF"/>
    <w:rsid w:val="00E57891"/>
    <w:rsid w:val="00E63CA3"/>
    <w:rsid w:val="00E65220"/>
    <w:rsid w:val="00EA09D9"/>
    <w:rsid w:val="00EB405F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4</cp:revision>
  <cp:lastPrinted>2018-01-22T15:35:00Z</cp:lastPrinted>
  <dcterms:created xsi:type="dcterms:W3CDTF">2023-02-20T09:17:00Z</dcterms:created>
  <dcterms:modified xsi:type="dcterms:W3CDTF">2023-02-20T09:22:00Z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